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Chapter Governance and Operating Guidelines</w:t>
      </w:r>
    </w:p>
    <w:p>
      <w:r>
        <w:t>This document outlines the standard operating procedures, governance structure, and bylaws for chapter administration.</w:t>
      </w:r>
    </w:p>
    <w:p>
      <w:pPr>
        <w:pStyle w:val="Heading2"/>
      </w:pPr>
      <w:r>
        <w:t>Section 1: Membership &amp; Elections</w:t>
      </w:r>
    </w:p>
    <w:p>
      <w:r>
        <w:t>All members in good standing are eligible to vote and hold office. Elections shall be conducted annually in Q4.</w:t>
      </w:r>
    </w:p>
    <w:p>
      <w:pPr>
        <w:pStyle w:val="Heading2"/>
      </w:pPr>
      <w:r>
        <w:t>Section 2: Meeting Protocols</w:t>
      </w:r>
    </w:p>
    <w:p>
      <w:r>
        <w:t>Chapters shall convene monthly. Agendas must be distributed 48 hours in advance.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